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
</file>

<file path=word/document.xml><?xml version="1.0" encoding="utf-8"?>
<w:document xmlns:w="http://schemas.openxmlformats.org/wordprocessingml/2006/main">
  <w:body>
    <w:tbl>
      <w:tblPr>
        <w:tblW w:w="5000" w:type="pct"/>
        <w:tblBorders>
          <w:bottom w:val="single" w:sz="6" w:color="D8D2C4"/>
        </w:tblBorders>
        <w:tblLayout w:type="fixed"/>
        <w:tblCellMar>
          <w:top w:w="0" w:type="dxa"/>
          <w:left w:w="0" w:type="dxa"/>
          <w:bottom w:w="220" w:type="dxa"/>
          <w:right w:w="0" w:type="dxa"/>
        </w:tblCellMar>
      </w:tblPr>
      <w:tblGrid>
        <w:gridCol w:w="6000"/>
        <w:gridCol w:w="3408"/>
      </w:tblGrid>
      <w:tr>
        <w:tc>
          <w:tcPr>
            <w:tcW w:w="6000" w:type="dxa"/>
            <w:vAlign w:val="center"/>
          </w:tcPr>
          <w:p>
            <w:pPr>
              <w:spacing w:before="0" w:after="0"/>
            </w:pPr>
            <w:r>
              <w:rPr>
                <w:rFonts w:ascii="Cambria" w:hAnsi="Cambria"/>
                <w:b/>
                <w:sz w:val="36"/>
              </w:rPr>
              <w:t xml:space="preserve">N  </w:t>
            </w:r>
            <w:r>
              <w:rPr>
                <w:rFonts w:ascii="Cambria" w:hAnsi="Cambria"/>
                <w:sz w:val="32"/>
              </w:rPr>
              <w:t>Notar</w:t>
            </w:r>
            <w:r>
              <w:rPr>
                <w:rFonts w:ascii="Cambria" w:hAnsi="Cambria"/>
                <w:i/>
                <w:sz w:val="32"/>
                <w:color w:val="4A5260"/>
              </w:rPr>
              <w:t>check</w:t>
            </w:r>
          </w:p>
        </w:tc>
        <w:tc>
          <w:tcPr>
            <w:tcW w:w="3408" w:type="dxa"/>
          </w:tcPr>
          <w:p>
            <w:pPr>
              <w:spacing w:before="0" w:after="40"/>
              <w:jc w:val="right"/>
            </w:pPr>
            <w:r>
              <w:rPr>
                <w:rFonts w:ascii="Calibri" w:hAnsi="Calibri"/>
                <w:b/>
                <w:sz w:val="16"/>
              </w:rPr>
              <w:t>Muster zur freien Nutzung</w:t>
            </w:r>
          </w:p>
          <w:p>
            <w:pPr>
              <w:spacing w:before="0" w:after="40"/>
              <w:jc w:val="right"/>
            </w:pPr>
            <w:r>
              <w:rPr>
                <w:rFonts w:ascii="Calibri" w:hAnsi="Calibri"/>
                <w:sz w:val="16"/>
                <w:color w:val="7A8290"/>
              </w:rPr>
              <w:t xml:space="preserve">Rechtsstand: 01.06.2025 · KostBRÄG 2025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sz w:val="16"/>
                <w:color w:val="7A8290"/>
              </w:rPr>
              <w:t>notar-check.de</w:t>
            </w:r>
          </w:p>
        </w:tc>
      </w:tr>
    </w:tbl>
    <w:p>
      <w:pPr>
        <w:pStyle w:val="Eyebrow"/>
      </w:pPr>
      <w:r>
        <w:rPr>
          <w:rFonts w:ascii="Calibri" w:hAnsi="Calibri"/>
          <w:b/>
          <w:sz w:val="16"/>
          <w:color w:val="3F6B4D"/>
        </w:rPr>
        <w:t xml:space="preserve">§ 127 GNOTKG · ANTRAG AUF GERICHTLICHE ENTSCHEIDUNG</w:t>
      </w:r>
    </w:p>
    <w:p>
      <w:pPr>
        <w:pStyle w:val="DocTitle"/>
      </w:pPr>
      <w:r>
        <w:rPr>
          <w:rFonts w:ascii="Cambria" w:hAnsi="Cambria"/>
          <w:sz w:val="44"/>
        </w:rPr>
        <w:t>Muster für die Beschwerde gegen eine Notarkostenberechnung</w:t>
      </w:r>
    </w:p>
    <w:p>
      <w:pPr>
        <w:spacing w:before="0" w:after="240"/>
      </w:pPr>
      <w:r>
        <w:rPr>
          <w:sz w:val="20"/>
          <w:color w:val="4A5260"/>
        </w:rPr>
        <w:t xml:space="preserve">Dieses Muster bildet die 7 Pflichtteile eines Antrags nach § 127 GNotKG ab und kann direkt an das Notariat oder das zuständige Landgericht versendet werden. Frist nach § 127 Abs. 2 GNotKG: bis zum Ende des Kalenderjahres, das auf die Zustellung der vollstreckbaren Kostenberechnung folgt.</w:t>
      </w:r>
    </w:p>
    <w:tbl>
      <w:tblPr>
        <w:tblW w:w="5000" w:type="pct"/>
        <w:tblBorders>
          <w:left w:val="single" w:sz="18" w:color="3F6B4D"/>
        </w:tblBorders>
        <w:shd w:val="clear" w:fill="ECF2EC"/>
        <w:tblCellMar>
          <w:top w:w="160" w:type="dxa"/>
          <w:left w:w="240" w:type="dxa"/>
          <w:bottom w:w="160" w:type="dxa"/>
          <w:right w:w="240" w:type="dxa"/>
        </w:tblCellMar>
      </w:tblPr>
      <w:tblGrid>
        <w:gridCol w:w="9408"/>
      </w:tblGrid>
      <w:tr>
        <w:tc>
          <w:tcPr>
            <w:tcW w:w="9408" w:type="dxa"/>
            <w:shd w:val="clear" w:fill="ECF2EC"/>
          </w:tcPr>
          <w:p>
            <w:pPr>
              <w:spacing w:before="0" w:after="0"/>
            </w:pPr>
            <w:r>
              <w:rPr>
                <w:b/>
                <w:sz w:val="18"/>
                <w:color w:val="3F6B4D"/>
              </w:rPr>
              <w:t>Hinweis</w:t>
            </w:r>
            <w:r>
              <w:rPr>
                <w:sz w:val="18"/>
                <w:color w:val="4A5260"/>
              </w:rPr>
              <w:t xml:space="preserve"> — Dieses Muster ist ein Anhaltspunkt zur Orientierung und ersetzt keine individuelle Rechtsberatung. Bei komplexen Sachverhalten empfehlen wir die Beratung durch einen Fachanwalt. Rechtsstand: GNotKG i.d.F. KostBRÄG 2025 (BGBl. 2025 I Nr. 109, in Kraft seit 01.06.2025).</w:t>
            </w:r>
          </w:p>
        </w:tc>
      </w:tr>
    </w:tbl>
    <w:p>
      <w:pPr>
        <w:spacing w:before="400"/>
      </w:pPr>
      <w:r>
        <w:rPr>
          <w:i/>
          <w:color w:val="7A8290"/>
        </w:rPr>
        <w:t>[Ihr Name]</w:t>
      </w:r>
    </w:p>
    <w:p>
      <w:r>
        <w:rPr>
          <w:i/>
          <w:color w:val="7A8290"/>
        </w:rPr>
        <w:t>[Ihre Anschrift]</w:t>
      </w:r>
    </w:p>
    <w:p>
      <w:r>
        <w:rPr>
          <w:i/>
          <w:color w:val="7A8290"/>
        </w:rPr>
        <w:t>[Telefon / E-Mail]</w:t>
      </w:r>
    </w:p>
    <w:p>
      <w:pPr>
        <w:spacing w:before="240"/>
      </w:pPr>
      <w:r>
        <w:rPr>
          <w:i/>
          <w:color w:val="7A8290"/>
        </w:rPr>
        <w:t>[Datum]</w:t>
      </w:r>
    </w:p>
    <w:p>
      <w:pPr>
        <w:spacing w:before="240"/>
      </w:pPr>
      <w:r>
        <w:t>An das</w:t>
      </w:r>
    </w:p>
    <w:p>
      <w:r>
        <w:rPr>
          <w:i/>
          <w:color w:val="7A8290"/>
        </w:rPr>
        <w:t>[Name des Notariats / Notarbüro Dr. Mustermann]</w:t>
      </w:r>
    </w:p>
    <w:p>
      <w:r>
        <w:rPr>
          <w:i/>
          <w:color w:val="7A8290"/>
        </w:rPr>
        <w:t>[Anschrift]</w:t>
      </w:r>
    </w:p>
    <w:p>
      <w:pPr>
        <w:pStyle w:val="Subject"/>
      </w:pPr>
      <w:r>
        <w:rPr>
          <w:rFonts w:ascii="Cambria" w:hAnsi="Cambria"/>
          <w:b/>
          <w:sz w:val="23"/>
        </w:rPr>
        <w:t xml:space="preserve">Beschwerde nach § 127 GNotKG</w:t>
      </w:r>
      <w:r>
        <w:rPr>
          <w:rFonts w:ascii="Cambria" w:hAnsi="Cambria"/>
          <w:sz w:val="23"/>
        </w:rPr>
        <w:br/>
        <w:t xml:space="preserve">gegen die Kostenberechnung vom </w:t>
      </w:r>
      <w:r>
        <w:rPr>
          <w:rFonts w:ascii="Cambria" w:hAnsi="Cambria"/>
          <w:i/>
          <w:sz w:val="23"/>
          <w:color w:val="7A8290"/>
        </w:rPr>
        <w:t>[Datum]</w:t>
      </w:r>
      <w:r>
        <w:rPr>
          <w:rFonts w:ascii="Cambria" w:hAnsi="Cambria"/>
          <w:sz w:val="23"/>
        </w:rPr>
        <w:t xml:space="preserve"> zur Urkundenrolle Nr. </w:t>
      </w:r>
      <w:r>
        <w:rPr>
          <w:rFonts w:ascii="Cambria" w:hAnsi="Cambria"/>
          <w:i/>
          <w:sz w:val="23"/>
          <w:color w:val="7A8290"/>
        </w:rPr>
        <w:t>[UR-Nr.]</w:t>
      </w:r>
      <w:r>
        <w:rPr>
          <w:rFonts w:ascii="Cambria" w:hAnsi="Cambria"/>
          <w:sz w:val="23"/>
        </w:rPr>
        <w:t xml:space="preserve"> — zugestellt am </w:t>
      </w:r>
      <w:r>
        <w:rPr>
          <w:rFonts w:ascii="Cambria" w:hAnsi="Cambria"/>
          <w:i/>
          <w:sz w:val="23"/>
          <w:color w:val="7A8290"/>
        </w:rPr>
        <w:t>[Datum]</w:t>
      </w:r>
      <w:r>
        <w:rPr>
          <w:rFonts w:ascii="Cambria" w:hAnsi="Cambria"/>
          <w:sz w:val="23"/>
        </w:rPr>
        <w:t xml:space="preserve"> —</w:t>
      </w:r>
    </w:p>
    <w:p>
      <w:r>
        <w:t>Sehr geehrte Damen und Herren,</w:t>
      </w:r>
    </w:p>
    <w:p>
      <w:r>
        <w:t xml:space="preserve">hiermit lege ich Beschwerde gegen Ihre vorgenannte Kostenberechnung nach § 127 GNotKG ein. Die Beschwerde richtet sich gegen folgende Positionen:</w:t>
      </w:r>
    </w:p>
    <w:p>
      <w:pPr>
        <w:ind w:left="360"/>
      </w:pPr>
      <w:r>
        <w:t xml:space="preserve">1. Position </w:t>
      </w:r>
      <w:r>
        <w:rPr>
          <w:i/>
          <w:color w:val="7A8290"/>
        </w:rPr>
        <w:t>[Nummer]</w:t>
      </w:r>
      <w:r>
        <w:t xml:space="preserve">: </w:t>
      </w:r>
      <w:r>
        <w:rPr>
          <w:i/>
          <w:color w:val="7A8290"/>
        </w:rPr>
        <w:t>[Bezeichnung]</w:t>
      </w:r>
      <w:r>
        <w:t xml:space="preserve">, KV </w:t>
      </w:r>
      <w:r>
        <w:rPr>
          <w:i/>
          <w:color w:val="7A8290"/>
        </w:rPr>
        <w:t>[Nummer]</w:t>
      </w:r>
    </w:p>
    <w:p>
      <w:pPr>
        <w:ind w:left="720"/>
      </w:pPr>
      <w:r>
        <w:t xml:space="preserve">Berechneter Betrag: </w:t>
      </w:r>
      <w:r>
        <w:rPr>
          <w:i/>
          <w:color w:val="7A8290"/>
        </w:rPr>
        <w:t>[Betrag]</w:t>
      </w:r>
      <w:r>
        <w:t xml:space="preserve"> €</w:t>
      </w:r>
    </w:p>
    <w:p>
      <w:pPr>
        <w:ind w:left="720"/>
      </w:pPr>
      <w:r>
        <w:t xml:space="preserve">Beanstandung: </w:t>
      </w:r>
      <w:r>
        <w:rPr>
          <w:i/>
          <w:color w:val="7A8290"/>
        </w:rPr>
        <w:t>[konkrete Beanstandung]</w:t>
      </w:r>
    </w:p>
    <w:p>
      <w:pPr>
        <w:ind w:left="720"/>
      </w:pPr>
      <w:r>
        <w:t xml:space="preserve">Rechtsgrundlage: </w:t>
      </w:r>
      <w:r>
        <w:rPr>
          <w:i/>
          <w:color w:val="7A8290"/>
        </w:rPr>
        <w:t>[Paragraf / Vorbemerkung]</w:t>
      </w:r>
    </w:p>
    <w:p>
      <w:pPr>
        <w:ind w:left="360"/>
      </w:pPr>
      <w:r>
        <w:rPr>
          <w:color w:val="7A8290"/>
        </w:rPr>
        <w:t>2. (gegebenenfalls weitere Positionen)</w:t>
      </w:r>
    </w:p>
    <w:p>
      <w:pPr>
        <w:pStyle w:val="SectionH"/>
      </w:pPr>
      <w:r>
        <w:rPr>
          <w:rFonts w:ascii="Cambria" w:hAnsi="Cambria"/>
          <w:b/>
          <w:sz w:val="26"/>
        </w:rPr>
        <w:t>Begründung</w:t>
      </w:r>
    </w:p>
    <w:p>
      <w:r>
        <w:t xml:space="preserve">Zu Position </w:t>
      </w:r>
      <w:r>
        <w:rPr>
          <w:i/>
          <w:color w:val="7A8290"/>
        </w:rPr>
        <w:t>[Nummer]</w:t>
      </w:r>
      <w:r>
        <w:t xml:space="preserve">: Die Berechnung nach KV </w:t>
      </w:r>
      <w:r>
        <w:rPr>
          <w:i/>
          <w:color w:val="7A8290"/>
        </w:rPr>
        <w:t>[Nummer]</w:t>
      </w:r>
      <w:r>
        <w:t xml:space="preserve"> mit Faktor </w:t>
      </w:r>
      <w:r>
        <w:rPr>
          <w:i/>
          <w:color w:val="7A8290"/>
        </w:rPr>
        <w:t>[X,X]</w:t>
      </w:r>
      <w:r>
        <w:t xml:space="preserve"> ist nicht gerechtfertigt, weil </w:t>
      </w:r>
      <w:r>
        <w:rPr>
          <w:i/>
          <w:color w:val="7A8290"/>
        </w:rPr>
        <w:t>[Argument 1]</w:t>
      </w:r>
      <w:r>
        <w:t xml:space="preserve">. Nach </w:t>
      </w:r>
      <w:r>
        <w:rPr>
          <w:i/>
          <w:color w:val="7A8290"/>
        </w:rPr>
        <w:t>[Paragraf / KV-Anmerkung]</w:t>
      </w:r>
      <w:r>
        <w:t xml:space="preserve"> darf KV </w:t>
      </w:r>
      <w:r>
        <w:rPr>
          <w:i/>
          <w:color w:val="7A8290"/>
        </w:rPr>
        <w:t>[Nummer]</w:t>
      </w:r>
      <w:r>
        <w:t xml:space="preserve"> nur dann angesetzt werden, wenn </w:t>
      </w:r>
      <w:r>
        <w:rPr>
          <w:i/>
          <w:color w:val="7A8290"/>
        </w:rPr>
        <w:t>[Voraussetzung]</w:t>
      </w:r>
      <w:r>
        <w:t>.</w:t>
      </w:r>
    </w:p>
    <w:p>
      <w:r>
        <w:t xml:space="preserve">In meinem Fall ist die Voraussetzung nicht erfüllt, weil </w:t>
      </w:r>
      <w:r>
        <w:rPr>
          <w:i/>
          <w:color w:val="7A8290"/>
        </w:rPr>
        <w:t>[Argument 2]</w:t>
      </w:r>
      <w:r>
        <w:t>.</w:t>
      </w:r>
    </w:p>
    <w:p>
      <w:r>
        <w:t>Konkret ergibt sich der gesetzliche Sollwert wie folgt:</w:t>
      </w:r>
    </w:p>
    <w:p>
      <w:pPr>
        <w:ind w:left="360"/>
      </w:pPr>
      <w:r>
        <w:t xml:space="preserve">•	Geschäftswert: </w:t>
      </w:r>
      <w:r>
        <w:rPr>
          <w:i/>
          <w:color w:val="7A8290"/>
        </w:rPr>
        <w:t>[Wert]</w:t>
      </w:r>
      <w:r>
        <w:t xml:space="preserve"> € nach § </w:t>
      </w:r>
      <w:r>
        <w:rPr>
          <w:i/>
          <w:color w:val="7A8290"/>
        </w:rPr>
        <w:t>[Paragraf]</w:t>
      </w:r>
      <w:r>
        <w:t xml:space="preserve"> GNotKG</w:t>
      </w:r>
    </w:p>
    <w:p>
      <w:pPr>
        <w:ind w:left="360"/>
      </w:pPr>
      <w:r>
        <w:t xml:space="preserve">•	1,0-Gebühr aus Anlage 2 GNotKG (i.d.F. KostBRÄG 2025, Stand 01.06.2025): </w:t>
      </w:r>
      <w:r>
        <w:rPr>
          <w:i/>
          <w:color w:val="7A8290"/>
        </w:rPr>
        <w:t>[Wert]</w:t>
      </w:r>
      <w:r>
        <w:t xml:space="preserve"> €</w:t>
      </w:r>
    </w:p>
    <w:p>
      <w:pPr>
        <w:ind w:left="360"/>
      </w:pPr>
      <w:r>
        <w:t xml:space="preserve">•	Korrekter Faktor: </w:t>
      </w:r>
      <w:r>
        <w:rPr>
          <w:i/>
          <w:color w:val="7A8290"/>
        </w:rPr>
        <w:t>[Faktor]</w:t>
      </w:r>
    </w:p>
    <w:p>
      <w:pPr>
        <w:ind w:left="360"/>
      </w:pPr>
      <w:r>
        <w:t xml:space="preserve">•	Sollwert: </w:t>
      </w:r>
      <w:r>
        <w:rPr>
          <w:i/>
          <w:color w:val="7A8290"/>
        </w:rPr>
        <w:t>[Wert]</w:t>
      </w:r>
      <w:r>
        <w:t xml:space="preserve"> €</w:t>
      </w:r>
    </w:p>
    <w:p>
      <w:pPr>
        <w:ind w:left="360"/>
      </w:pPr>
      <w:r>
        <w:t xml:space="preserve">•	Differenz: </w:t>
      </w:r>
      <w:r>
        <w:rPr>
          <w:i/>
          <w:color w:val="7A8290"/>
        </w:rPr>
        <w:t>[Wert]</w:t>
      </w:r>
      <w:r>
        <w:t xml:space="preserve"> €</w:t>
      </w:r>
    </w:p>
    <w:p>
      <w:pPr>
        <w:pStyle w:val="SectionH"/>
      </w:pPr>
      <w:r>
        <w:rPr>
          <w:rFonts w:ascii="Cambria" w:hAnsi="Cambria"/>
          <w:b/>
          <w:sz w:val="26"/>
        </w:rPr>
        <w:t>Antrag</w:t>
      </w:r>
    </w:p>
    <w:p>
      <w:r>
        <w:t>Ich beantrage,</w:t>
      </w:r>
    </w:p>
    <w:p>
      <w:pPr>
        <w:ind w:left="360"/>
      </w:pPr>
      <w:r>
        <w:t xml:space="preserve">1. die Kostenberechnung vom </w:t>
      </w:r>
      <w:r>
        <w:rPr>
          <w:i/>
          <w:color w:val="7A8290"/>
        </w:rPr>
        <w:t>[Datum]</w:t>
      </w:r>
      <w:r>
        <w:t xml:space="preserve"> dahingehend zu korrigieren, dass Position </w:t>
      </w:r>
      <w:r>
        <w:rPr>
          <w:i/>
          <w:color w:val="7A8290"/>
        </w:rPr>
        <w:t>[Nummer]</w:t>
      </w:r>
      <w:r>
        <w:t xml:space="preserve"> entfällt / Position </w:t>
      </w:r>
      <w:r>
        <w:rPr>
          <w:i/>
          <w:color w:val="7A8290"/>
        </w:rPr>
        <w:t>[Nummer]</w:t>
      </w:r>
      <w:r>
        <w:t xml:space="preserve"> mit Faktor </w:t>
      </w:r>
      <w:r>
        <w:rPr>
          <w:i/>
          <w:color w:val="7A8290"/>
        </w:rPr>
        <w:t>[Wert]</w:t>
      </w:r>
      <w:r>
        <w:t xml:space="preserve"> neu berechnet wird;</w:t>
      </w:r>
    </w:p>
    <w:p>
      <w:pPr>
        <w:ind w:left="360"/>
      </w:pPr>
      <w:r>
        <w:t xml:space="preserve">2. mir den überzahlten Betrag von </w:t>
      </w:r>
      <w:r>
        <w:rPr>
          <w:i/>
          <w:color w:val="7A8290"/>
        </w:rPr>
        <w:t>[Wert]</w:t>
      </w:r>
      <w:r>
        <w:t xml:space="preserve"> € zurückzuerstatten.</w:t>
      </w:r>
    </w:p>
    <w:p>
      <w:r>
        <w:t xml:space="preserve">Bei Nichtabhilfe bitte ich um Vorlage an das zuständige Landgericht nach § 127 Abs. 2 GNotKG.</w:t>
      </w:r>
    </w:p>
    <w:p>
      <w:pPr>
        <w:pStyle w:val="SectionH"/>
      </w:pPr>
      <w:r>
        <w:rPr>
          <w:rFonts w:ascii="Cambria" w:hAnsi="Cambria"/>
          <w:b/>
          <w:sz w:val="26"/>
        </w:rPr>
        <w:t>Anlagen</w:t>
      </w:r>
    </w:p>
    <w:p>
      <w:pPr>
        <w:ind w:left="360"/>
      </w:pPr>
      <w:r>
        <w:t xml:space="preserve">•	Kopie der Kostenberechnung vom </w:t>
      </w:r>
      <w:r>
        <w:rPr>
          <w:i/>
          <w:color w:val="7A8290"/>
        </w:rPr>
        <w:t>[Datum]</w:t>
      </w:r>
    </w:p>
    <w:p>
      <w:pPr>
        <w:ind w:left="360"/>
      </w:pPr>
      <w:r>
        <w:t xml:space="preserve">•	</w:t>
      </w:r>
      <w:r>
        <w:rPr>
          <w:i/>
          <w:color w:val="7A8290"/>
        </w:rPr>
        <w:t>[weitere Unterlagen]</w:t>
      </w:r>
    </w:p>
    <w:p>
      <w:pPr>
        <w:spacing w:before="320"/>
      </w:pPr>
      <w:r>
        <w:t>Mit freundlichen Grüßen</w:t>
      </w:r>
    </w:p>
    <w:p>
      <w:pPr>
        <w:spacing w:before="600"/>
        <w:pBdr>
          <w:top w:val="single" w:sz="6" w:color="1F232B" w:space="2"/>
        </w:pBdr>
      </w:pPr>
      <w:r>
        <w:rPr>
          <w:sz w:val="16"/>
          <w:color w:val="7A8290"/>
        </w:rPr>
        <w:t>Unterschrift / Name</w:t>
      </w:r>
    </w:p>
    <w:p>
      <w:pPr>
        <w:spacing w:before="480"/>
        <w:pBdr>
          <w:top w:val="single" w:sz="6" w:color="D8D2C4" w:space="6"/>
        </w:pBdr>
      </w:pPr>
      <w:r>
        <w:rPr>
          <w:b/>
          <w:sz w:val="14"/>
          <w:color w:val="4A5260"/>
        </w:rPr>
        <w:t xml:space="preserve">NotarCheck</w:t>
      </w:r>
      <w:r>
        <w:rPr>
          <w:sz w:val="14"/>
          <w:color w:val="7A8290"/>
        </w:rPr>
        <w:t xml:space="preserve">  ·  Unabhängige Zweitprüfung Ihrer Notarrechnung gegen das GNotKG. Keine Rechtsberatung · § 2 RDG. notar-check.de · info@notar-check.de</w:t>
      </w:r>
    </w:p>
    <w:sectPr>
      <w:pgSz w:w="11906" w:h="16838"/>
      <w:pgMar w:top="1134" w:right="1247" w:bottom="1134" w:left="1247" w:header="0" w:footer="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color w:val="1F232B"/>
      </w:rPr>
    </w:rPrDefault>
    <w:pPrDefault>
      <w:pPr>
        <w:spacing w:after="120" w:line="288" w:lineRule="auto"/>
      </w:pPr>
    </w:pPrDefault>
  </w:docDefaults>
  <w:style w:type="paragraph" w:default="1" w:styleId="Normal">
    <w:name w:val="Normal"/>
    <w:rPr>
      <w:rFonts w:ascii="Calibri" w:hAnsi="Calibri"/>
      <w:sz w:val="22"/>
      <w:color w:val="1F232B"/>
    </w:rPr>
  </w:style>
  <w:style w:type="paragraph" w:styleId="DocTitle">
    <w:name w:val="Doc Title"/>
    <w:basedOn w:val="Normal"/>
    <w:pPr>
      <w:spacing w:before="120" w:after="160"/>
    </w:pPr>
    <w:rPr>
      <w:rFonts w:ascii="Cambria" w:hAnsi="Cambria"/>
      <w:sz w:val="44"/>
      <w:color w:val="1F232B"/>
    </w:rPr>
  </w:style>
  <w:style w:type="paragraph" w:styleId="SectionH">
    <w:name w:val="Section H"/>
    <w:basedOn w:val="Normal"/>
    <w:pPr>
      <w:spacing w:before="280" w:after="100"/>
      <w:keepNext/>
    </w:pPr>
    <w:rPr>
      <w:rFonts w:ascii="Cambria" w:hAnsi="Cambria"/>
      <w:b/>
      <w:sz w:val="26"/>
    </w:rPr>
  </w:style>
  <w:style w:type="paragraph" w:styleId="Eyebrow">
    <w:name w:val="Eyebrow"/>
    <w:basedOn w:val="Normal"/>
    <w:pPr>
      <w:spacing w:before="320" w:after="80"/>
    </w:pPr>
    <w:rPr>
      <w:rFonts w:ascii="Calibri" w:hAnsi="Calibri"/>
      <w:b/>
      <w:sz w:val="16"/>
      <w:color w:val="3F6B4D"/>
      <w:spacing w:val="30"/>
    </w:rPr>
  </w:style>
  <w:style w:type="paragraph" w:styleId="Subject">
    <w:name w:val="Subject"/>
    <w:basedOn w:val="Normal"/>
    <w:pPr>
      <w:pBdr>
        <w:top w:val="single" w:sz="6" w:space="6" w:color="D8D2C4"/>
        <w:bottom w:val="single" w:sz="6" w:space="6" w:color="D8D2C4"/>
      </w:pBdr>
      <w:spacing w:before="240" w:after="240"/>
    </w:pPr>
    <w:rPr>
      <w:rFonts w:ascii="Cambria" w:hAnsi="Cambria"/>
      <w:b/>
      <w:sz w:val="23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
</file>